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AC906" w14:textId="77777777" w:rsidR="002672A6" w:rsidRDefault="00A4507A" w:rsidP="0062383D">
      <w:pPr>
        <w:pStyle w:val="NoSpacing"/>
        <w:rPr>
          <w:b/>
          <w:bCs/>
          <w:sz w:val="28"/>
          <w:szCs w:val="28"/>
        </w:rPr>
      </w:pPr>
      <w:r w:rsidRPr="0062383D">
        <w:rPr>
          <w:b/>
          <w:bCs/>
          <w:sz w:val="28"/>
          <w:szCs w:val="28"/>
        </w:rPr>
        <w:t>Summary</w:t>
      </w:r>
      <w:r w:rsidR="006C2CE7" w:rsidRPr="0062383D">
        <w:rPr>
          <w:b/>
          <w:bCs/>
          <w:sz w:val="28"/>
          <w:szCs w:val="28"/>
        </w:rPr>
        <w:t xml:space="preserve"> of </w:t>
      </w:r>
      <w:r w:rsidRPr="0062383D">
        <w:rPr>
          <w:b/>
          <w:bCs/>
          <w:sz w:val="28"/>
          <w:szCs w:val="28"/>
        </w:rPr>
        <w:t>the</w:t>
      </w:r>
      <w:r w:rsidR="00E345C1" w:rsidRPr="0062383D">
        <w:rPr>
          <w:b/>
          <w:bCs/>
          <w:sz w:val="28"/>
          <w:szCs w:val="28"/>
        </w:rPr>
        <w:t xml:space="preserve"> Draft Educational Note on Discount Rates</w:t>
      </w:r>
    </w:p>
    <w:p w14:paraId="6F4B97AF" w14:textId="423C050E" w:rsidR="00852FDE" w:rsidRDefault="002672A6" w:rsidP="0062383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174DF8" w:rsidRPr="0062383D">
        <w:rPr>
          <w:b/>
          <w:bCs/>
          <w:sz w:val="28"/>
          <w:szCs w:val="28"/>
        </w:rPr>
        <w:t xml:space="preserve">ssued </w:t>
      </w:r>
      <w:r w:rsidR="00A4507A" w:rsidRPr="00174DF8">
        <w:rPr>
          <w:b/>
          <w:bCs/>
          <w:sz w:val="28"/>
          <w:szCs w:val="28"/>
        </w:rPr>
        <w:t xml:space="preserve">by </w:t>
      </w:r>
      <w:r w:rsidR="00174DF8" w:rsidRPr="00174DF8">
        <w:rPr>
          <w:b/>
          <w:bCs/>
          <w:sz w:val="28"/>
          <w:szCs w:val="28"/>
        </w:rPr>
        <w:t xml:space="preserve">the </w:t>
      </w:r>
      <w:r w:rsidR="00A4507A" w:rsidRPr="00174DF8">
        <w:rPr>
          <w:b/>
          <w:bCs/>
          <w:sz w:val="28"/>
          <w:szCs w:val="28"/>
        </w:rPr>
        <w:t>Canadian Institute of Actuaries</w:t>
      </w:r>
    </w:p>
    <w:p w14:paraId="70AB022B" w14:textId="77777777" w:rsidR="00A4507A" w:rsidRPr="004D74CB" w:rsidRDefault="00A4507A" w:rsidP="00A4507A">
      <w:pPr>
        <w:spacing w:after="0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016"/>
      </w:tblGrid>
      <w:tr w:rsidR="00B960E2" w14:paraId="01821109" w14:textId="77777777" w:rsidTr="00B960E2">
        <w:tc>
          <w:tcPr>
            <w:tcW w:w="9016" w:type="dxa"/>
            <w:shd w:val="clear" w:color="auto" w:fill="D5DCE4" w:themeFill="text2" w:themeFillTint="33"/>
          </w:tcPr>
          <w:p w14:paraId="459414FF" w14:textId="77777777" w:rsidR="00B960E2" w:rsidRDefault="00B960E2">
            <w:pPr>
              <w:rPr>
                <w:b/>
                <w:bCs/>
              </w:rPr>
            </w:pPr>
            <w:r>
              <w:rPr>
                <w:b/>
                <w:bCs/>
              </w:rPr>
              <w:t>Summary</w:t>
            </w:r>
          </w:p>
          <w:p w14:paraId="08E18FBE" w14:textId="45EBA4F4" w:rsidR="00B960E2" w:rsidRDefault="00B960E2" w:rsidP="00B960E2">
            <w:pPr>
              <w:pStyle w:val="ListParagraph"/>
              <w:numPr>
                <w:ilvl w:val="0"/>
                <w:numId w:val="6"/>
              </w:numPr>
            </w:pPr>
            <w:r>
              <w:t xml:space="preserve">The guidance is aimed at Canadian </w:t>
            </w:r>
            <w:r w:rsidR="006D3566">
              <w:t>actuaries but may be of interest outside Canada</w:t>
            </w:r>
            <w:r>
              <w:t>.</w:t>
            </w:r>
          </w:p>
          <w:p w14:paraId="7FDE432B" w14:textId="526CB64A" w:rsidR="00B960E2" w:rsidRDefault="00B960E2" w:rsidP="00B960E2">
            <w:pPr>
              <w:pStyle w:val="ListParagraph"/>
              <w:numPr>
                <w:ilvl w:val="0"/>
                <w:numId w:val="6"/>
              </w:numPr>
            </w:pPr>
            <w:r>
              <w:t xml:space="preserve">The first part of the note covers how actuaries might set </w:t>
            </w:r>
            <w:r w:rsidR="00D109CC">
              <w:t>the “risk-free” curve for discount rates. Much of this material will be familiar to UK actuaries – the guidance suggests setting a curve based on liquid risk-free assets, setting a last liquid point and an ultimate rate</w:t>
            </w:r>
            <w:r w:rsidR="002C4666">
              <w:t xml:space="preserve"> after the last liquid point</w:t>
            </w:r>
            <w:r w:rsidR="00D109CC">
              <w:t>. The ultimate rate is increased for illiquidity</w:t>
            </w:r>
            <w:r w:rsidR="00174DF8">
              <w:t xml:space="preserve"> (this is different to the way Solvency II works)</w:t>
            </w:r>
            <w:r w:rsidR="00D109CC">
              <w:t>.</w:t>
            </w:r>
          </w:p>
          <w:p w14:paraId="0C806522" w14:textId="13615722" w:rsidR="00D109CC" w:rsidRDefault="00D109CC" w:rsidP="00B960E2">
            <w:pPr>
              <w:pStyle w:val="ListParagraph"/>
              <w:numPr>
                <w:ilvl w:val="0"/>
                <w:numId w:val="6"/>
              </w:numPr>
            </w:pPr>
            <w:r>
              <w:t xml:space="preserve">The illiquidity premium </w:t>
            </w:r>
            <w:r w:rsidR="000C1DF2">
              <w:t>suggested</w:t>
            </w:r>
            <w:r>
              <w:t xml:space="preserve"> by the CIA </w:t>
            </w:r>
            <w:r w:rsidR="0070383D">
              <w:t>differs for “liquid” and “illiquid” insurance contracts:</w:t>
            </w:r>
          </w:p>
          <w:p w14:paraId="093CF8AD" w14:textId="02B32162" w:rsidR="0070383D" w:rsidRDefault="0070383D" w:rsidP="0070383D">
            <w:pPr>
              <w:pStyle w:val="ListParagraph"/>
              <w:numPr>
                <w:ilvl w:val="1"/>
                <w:numId w:val="6"/>
              </w:numPr>
            </w:pPr>
            <w:r>
              <w:t>For liquid contracts</w:t>
            </w:r>
            <w:r w:rsidR="001900A6">
              <w:t>,</w:t>
            </w:r>
            <w:r>
              <w:t xml:space="preserve"> the liquidity premium is 90% of the spread of provincial government bonds over </w:t>
            </w:r>
            <w:r w:rsidR="001900A6">
              <w:t>federal government bonds.</w:t>
            </w:r>
          </w:p>
          <w:p w14:paraId="32E37D5B" w14:textId="7AD48816" w:rsidR="001900A6" w:rsidRDefault="001900A6" w:rsidP="0070383D">
            <w:pPr>
              <w:pStyle w:val="ListParagraph"/>
              <w:numPr>
                <w:ilvl w:val="1"/>
                <w:numId w:val="6"/>
              </w:numPr>
            </w:pPr>
            <w:r>
              <w:t xml:space="preserve">For illiquid contracts, the liquidity premium is set at 75% of </w:t>
            </w:r>
            <w:r w:rsidR="0065069D">
              <w:t xml:space="preserve">the spread on investment grade Canadian corporate bonds over </w:t>
            </w:r>
            <w:r w:rsidR="00E3693E">
              <w:t>federal government bonds, with an additional 50bps adjustment as illiquid insurance contracts are more illiquid than corporate bonds</w:t>
            </w:r>
            <w:r w:rsidR="005F335B">
              <w:t xml:space="preserve"> (this adjustment is for the </w:t>
            </w:r>
            <w:r w:rsidR="00983637">
              <w:t>more</w:t>
            </w:r>
            <w:r w:rsidR="005F335B">
              <w:t xml:space="preserve"> illiquid insurance contracts – the Excel template provided by the CIA has an addition of 15bps).</w:t>
            </w:r>
          </w:p>
          <w:p w14:paraId="770E7A98" w14:textId="4991A142" w:rsidR="0070383D" w:rsidRPr="00B960E2" w:rsidRDefault="00E3693E" w:rsidP="00B960E2">
            <w:pPr>
              <w:pStyle w:val="ListParagraph"/>
              <w:numPr>
                <w:ilvl w:val="0"/>
                <w:numId w:val="6"/>
              </w:numPr>
            </w:pPr>
            <w:r>
              <w:t>Actuaries</w:t>
            </w:r>
            <w:r w:rsidR="000B7444">
              <w:t xml:space="preserve"> </w:t>
            </w:r>
            <w:r w:rsidR="00D24B5D">
              <w:t>for Canadian insurers</w:t>
            </w:r>
            <w:r>
              <w:t xml:space="preserve"> w</w:t>
            </w:r>
            <w:r w:rsidR="000C1DF2">
              <w:t xml:space="preserve">ould need to </w:t>
            </w:r>
            <w:r w:rsidR="000B7444">
              <w:t>compare</w:t>
            </w:r>
            <w:r w:rsidR="00983637">
              <w:t xml:space="preserve"> their own</w:t>
            </w:r>
            <w:r w:rsidR="000C1DF2">
              <w:t xml:space="preserve"> basis and </w:t>
            </w:r>
            <w:r w:rsidR="00983637">
              <w:t>this basis</w:t>
            </w:r>
            <w:r w:rsidR="000C1DF2">
              <w:t>, disclosing the difference to the regulator</w:t>
            </w:r>
            <w:r w:rsidR="00D24B5D">
              <w:t>.</w:t>
            </w:r>
          </w:p>
        </w:tc>
      </w:tr>
    </w:tbl>
    <w:p w14:paraId="5CAF1B8F" w14:textId="77777777" w:rsidR="00B960E2" w:rsidRDefault="00B960E2" w:rsidP="00417F94">
      <w:pPr>
        <w:spacing w:after="0"/>
      </w:pPr>
    </w:p>
    <w:p w14:paraId="4503B71B" w14:textId="6A3A010B" w:rsidR="00E345C1" w:rsidRDefault="00E345C1">
      <w:r>
        <w:t xml:space="preserve">In June 2020, the Canadian Institute of Actuaries (CIA) issued </w:t>
      </w:r>
      <w:r w:rsidR="005D58A0">
        <w:t xml:space="preserve">draft </w:t>
      </w:r>
      <w:r>
        <w:t>guidance to Canadian actuaries setting discount rates for IFRS 17</w:t>
      </w:r>
      <w:r w:rsidR="00174DF8">
        <w:t xml:space="preserve">, at </w:t>
      </w:r>
      <w:hyperlink r:id="rId11" w:history="1">
        <w:r w:rsidR="00174DF8" w:rsidRPr="00CC02D9">
          <w:rPr>
            <w:rStyle w:val="Hyperlink"/>
          </w:rPr>
          <w:t>https://cia-ica.ca/docs/default-source/2020/220079e.pdf</w:t>
        </w:r>
      </w:hyperlink>
      <w:r w:rsidR="00174DF8">
        <w:t xml:space="preserve"> </w:t>
      </w:r>
      <w:r>
        <w:t xml:space="preserve">. This follows other guidance issued to </w:t>
      </w:r>
      <w:r w:rsidR="005D58A0">
        <w:t xml:space="preserve">Canadian </w:t>
      </w:r>
      <w:r>
        <w:t xml:space="preserve">actuaries </w:t>
      </w:r>
      <w:r w:rsidR="005D58A0">
        <w:t xml:space="preserve">responsible for </w:t>
      </w:r>
      <w:r w:rsidR="009A3992">
        <w:t xml:space="preserve">IFRS 17 </w:t>
      </w:r>
      <w:r w:rsidR="005D58A0">
        <w:t>calculations</w:t>
      </w:r>
      <w:r>
        <w:t>.</w:t>
      </w:r>
      <w:r w:rsidR="0062383D">
        <w:t xml:space="preserve"> This guidance is not a standard of practice and is not binding but is intended to illustrate how the Canadian standards of practice might be applied.</w:t>
      </w:r>
    </w:p>
    <w:p w14:paraId="72AC508B" w14:textId="6C2EDB70" w:rsidR="00E345C1" w:rsidRDefault="00E345C1">
      <w:r>
        <w:t xml:space="preserve">Whilst the guidance is aimed at actuaries setting IFRS 17 liabilities for the Canadian market, it may still be useful for actuaries in </w:t>
      </w:r>
      <w:r w:rsidR="003A5A57">
        <w:t>other jurisdictions</w:t>
      </w:r>
      <w:r w:rsidR="0011641F">
        <w:t>,</w:t>
      </w:r>
      <w:r w:rsidR="003A5A57">
        <w:t xml:space="preserve"> as many of the </w:t>
      </w:r>
      <w:r w:rsidR="0011641F">
        <w:t xml:space="preserve">same </w:t>
      </w:r>
      <w:r w:rsidR="003A5A57">
        <w:t>principles will apply</w:t>
      </w:r>
      <w:r w:rsidR="00174DF8">
        <w:t>, although actuaries will wish to form their own views</w:t>
      </w:r>
      <w:r>
        <w:t xml:space="preserve">. </w:t>
      </w:r>
    </w:p>
    <w:p w14:paraId="11E02EFF" w14:textId="2C46FF60" w:rsidR="00E345C1" w:rsidRDefault="00E345C1">
      <w:r>
        <w:t>This note reviews and summarises the guidance issued to Canadian actuaries.</w:t>
      </w:r>
      <w:r w:rsidR="00174DF8">
        <w:t xml:space="preserve"> The Canadian Institute has set out an approach that actuaries can use to te</w:t>
      </w:r>
      <w:r w:rsidR="0062383D">
        <w:t>st curves beyond the last liquid point.</w:t>
      </w:r>
      <w:r w:rsidR="00174DF8">
        <w:t xml:space="preserve"> </w:t>
      </w:r>
    </w:p>
    <w:p w14:paraId="5D59F8CE" w14:textId="129B897B" w:rsidR="004D74CB" w:rsidRPr="00293FDF" w:rsidRDefault="00321D2F">
      <w:pPr>
        <w:rPr>
          <w:b/>
          <w:bCs/>
          <w:i/>
          <w:iCs/>
          <w:u w:val="single"/>
        </w:rPr>
      </w:pPr>
      <w:r w:rsidRPr="00293FDF">
        <w:rPr>
          <w:b/>
          <w:bCs/>
          <w:i/>
          <w:iCs/>
          <w:u w:val="single"/>
        </w:rPr>
        <w:t>“Developing the Discount Curve”</w:t>
      </w:r>
    </w:p>
    <w:p w14:paraId="46BBB27F" w14:textId="1649FBE5" w:rsidR="005A5272" w:rsidRDefault="001A5277" w:rsidP="00EC3446">
      <w:r>
        <w:t>Th</w:t>
      </w:r>
      <w:r w:rsidR="00DE0F10">
        <w:t>e first</w:t>
      </w:r>
      <w:r>
        <w:t xml:space="preserve"> chapter concentrates on </w:t>
      </w:r>
      <w:r w:rsidR="007D3267">
        <w:t>aspects w</w:t>
      </w:r>
      <w:r w:rsidR="00DE0F10">
        <w:t>here</w:t>
      </w:r>
      <w:r w:rsidR="007D3267">
        <w:t xml:space="preserve"> actuaries </w:t>
      </w:r>
      <w:r w:rsidR="00DE0F10">
        <w:t xml:space="preserve">need </w:t>
      </w:r>
      <w:r w:rsidR="007D3267">
        <w:t>to use judgement when setting discount rates, including</w:t>
      </w:r>
      <w:r w:rsidR="00EC3446">
        <w:t xml:space="preserve"> </w:t>
      </w:r>
      <w:r w:rsidR="000B7444">
        <w:t>considering</w:t>
      </w:r>
      <w:r w:rsidR="00EC3446">
        <w:t xml:space="preserve"> how to determine the last liquid point for a risk-free curve, what the ultimate forward rate might be and how to set illiquidity premia.</w:t>
      </w:r>
    </w:p>
    <w:p w14:paraId="70996F2F" w14:textId="471DDE32" w:rsidR="005A5272" w:rsidRDefault="00293FDF" w:rsidP="005A5272">
      <w:r>
        <w:rPr>
          <w:i/>
          <w:iCs/>
        </w:rPr>
        <w:t>Establishing the last liquid point on the yield curve</w:t>
      </w:r>
    </w:p>
    <w:p w14:paraId="06E85D2A" w14:textId="2B760D54" w:rsidR="009B0410" w:rsidRDefault="00325D7D" w:rsidP="005A5272">
      <w:r>
        <w:t>The CIA guidance suggest</w:t>
      </w:r>
      <w:r w:rsidR="000B7444">
        <w:t>s</w:t>
      </w:r>
      <w:r>
        <w:t xml:space="preserve"> that the last liquid point is 30 years</w:t>
      </w:r>
      <w:r w:rsidR="00AF1691">
        <w:t xml:space="preserve"> for the </w:t>
      </w:r>
      <w:r>
        <w:t>Canadian government bond market.</w:t>
      </w:r>
      <w:r w:rsidR="00AF1691">
        <w:t xml:space="preserve"> </w:t>
      </w:r>
      <w:r w:rsidR="009C5B11">
        <w:t xml:space="preserve">The starting point was to consider the </w:t>
      </w:r>
      <w:r w:rsidR="00135D81">
        <w:t xml:space="preserve">method used </w:t>
      </w:r>
      <w:r w:rsidR="00D24B5D">
        <w:t xml:space="preserve">in Europe, by </w:t>
      </w:r>
      <w:r w:rsidR="00AF1691">
        <w:t xml:space="preserve">EIOPA to determine whether a market is liquid beyond a certain point </w:t>
      </w:r>
      <w:r w:rsidR="00227629">
        <w:t>–</w:t>
      </w:r>
      <w:r w:rsidR="00AF1691">
        <w:t xml:space="preserve"> </w:t>
      </w:r>
      <w:r w:rsidR="00227629">
        <w:t>where the outstanding par maturities fall below 6% of the total, the market is deemed to be illiquid.</w:t>
      </w:r>
      <w:r w:rsidR="00135D81">
        <w:t xml:space="preserve"> The CIA then considered bid-ask sprea</w:t>
      </w:r>
      <w:r w:rsidR="00880989">
        <w:t>d</w:t>
      </w:r>
      <w:r w:rsidR="00135D81">
        <w:t>s, volumes, trade sizes and the impact of trades</w:t>
      </w:r>
      <w:r w:rsidR="00D64036">
        <w:t xml:space="preserve"> in addition to the EIOPA methodology.</w:t>
      </w:r>
    </w:p>
    <w:p w14:paraId="530B8356" w14:textId="3946B7CC" w:rsidR="00135D81" w:rsidRDefault="00D339E8" w:rsidP="005A5272">
      <w:r>
        <w:rPr>
          <w:i/>
          <w:iCs/>
        </w:rPr>
        <w:t>Setting an ultimate risk-free rate</w:t>
      </w:r>
    </w:p>
    <w:p w14:paraId="37B90B25" w14:textId="6CDBAA0A" w:rsidR="00CB5A24" w:rsidRDefault="00933715" w:rsidP="005A5272">
      <w:r>
        <w:t xml:space="preserve">Several possible methods for setting the </w:t>
      </w:r>
      <w:r w:rsidR="002C4666">
        <w:t>ultimate rate</w:t>
      </w:r>
      <w:r>
        <w:t xml:space="preserve"> were considered:</w:t>
      </w:r>
    </w:p>
    <w:p w14:paraId="1516FE12" w14:textId="65E11B5A" w:rsidR="00CB5A24" w:rsidRDefault="00CB5A24" w:rsidP="00CB5A24">
      <w:pPr>
        <w:pStyle w:val="ListParagraph"/>
        <w:numPr>
          <w:ilvl w:val="0"/>
          <w:numId w:val="2"/>
        </w:numPr>
      </w:pPr>
      <w:r>
        <w:lastRenderedPageBreak/>
        <w:t>Long-term average government bond rates</w:t>
      </w:r>
    </w:p>
    <w:p w14:paraId="07E34BFA" w14:textId="31539667" w:rsidR="00CB5A24" w:rsidRDefault="00967DAA" w:rsidP="00CB5A24">
      <w:pPr>
        <w:pStyle w:val="ListParagraph"/>
        <w:numPr>
          <w:ilvl w:val="0"/>
          <w:numId w:val="2"/>
        </w:numPr>
      </w:pPr>
      <w:r>
        <w:t>Real interest rates combined with an inflation target</w:t>
      </w:r>
    </w:p>
    <w:p w14:paraId="6EBDAFCD" w14:textId="7F6565DA" w:rsidR="00933715" w:rsidRDefault="00933715" w:rsidP="00CB5A24">
      <w:pPr>
        <w:pStyle w:val="ListParagraph"/>
        <w:numPr>
          <w:ilvl w:val="0"/>
          <w:numId w:val="2"/>
        </w:numPr>
      </w:pPr>
      <w:r>
        <w:t>Real GDP growth with an inflation expectation</w:t>
      </w:r>
    </w:p>
    <w:p w14:paraId="70D90C83" w14:textId="6AD21198" w:rsidR="00D339E8" w:rsidRDefault="00CB5A24" w:rsidP="005A5272">
      <w:r>
        <w:t xml:space="preserve">The CIA </w:t>
      </w:r>
      <w:r w:rsidR="00B0254B">
        <w:t xml:space="preserve">determined that a </w:t>
      </w:r>
      <w:r w:rsidR="002C4666">
        <w:t>rate</w:t>
      </w:r>
      <w:r w:rsidR="00B0254B">
        <w:t xml:space="preserve"> between 3.5% and 5.0% would be suitable for the Canadian market</w:t>
      </w:r>
      <w:r w:rsidR="00174DF8">
        <w:t xml:space="preserve"> (the current European rate is 3.75%)</w:t>
      </w:r>
      <w:r w:rsidR="002C4666">
        <w:t>, reached at year 70.</w:t>
      </w:r>
    </w:p>
    <w:p w14:paraId="20E26310" w14:textId="66BFC52E" w:rsidR="00B0254B" w:rsidRDefault="00502258" w:rsidP="005A5272">
      <w:r>
        <w:rPr>
          <w:i/>
          <w:iCs/>
        </w:rPr>
        <w:t>Splining the yield curve</w:t>
      </w:r>
    </w:p>
    <w:p w14:paraId="58E5967B" w14:textId="31A7B750" w:rsidR="00325D7D" w:rsidRDefault="00502258" w:rsidP="005A5272">
      <w:r>
        <w:t xml:space="preserve">Some form of interpolation is required to join the market data up into a single yield curve. The </w:t>
      </w:r>
      <w:r w:rsidR="005469A3">
        <w:t>guidance discusses the advantages and disadvantages of several techniques,</w:t>
      </w:r>
      <w:r w:rsidR="00BC22A5">
        <w:t xml:space="preserve"> including whether they are straightforward to implement, stability of the results and so on.</w:t>
      </w:r>
    </w:p>
    <w:p w14:paraId="6BDF2207" w14:textId="4964061D" w:rsidR="00BC22A5" w:rsidRDefault="00BC22A5" w:rsidP="005A5272">
      <w:pPr>
        <w:rPr>
          <w:i/>
          <w:iCs/>
        </w:rPr>
      </w:pPr>
      <w:r>
        <w:rPr>
          <w:i/>
          <w:iCs/>
        </w:rPr>
        <w:t>Illiquidity premia</w:t>
      </w:r>
    </w:p>
    <w:p w14:paraId="1D4B6B51" w14:textId="27807959" w:rsidR="00BC22A5" w:rsidRPr="000A1641" w:rsidRDefault="00064FCD" w:rsidP="005A5272">
      <w:r>
        <w:t xml:space="preserve">The CIA recommends that actuaries </w:t>
      </w:r>
      <w:r w:rsidR="00CA2386">
        <w:t>determine</w:t>
      </w:r>
      <w:r>
        <w:t xml:space="preserve"> whether </w:t>
      </w:r>
      <w:r w:rsidR="00F572B0">
        <w:t>an</w:t>
      </w:r>
      <w:r>
        <w:t xml:space="preserve"> insurance</w:t>
      </w:r>
      <w:r w:rsidR="00F572B0">
        <w:t xml:space="preserve"> liability is illiquid or not</w:t>
      </w:r>
      <w:r w:rsidR="000A1641">
        <w:t>. This is used to determine an additional illiquidity premium adjustment</w:t>
      </w:r>
      <w:r w:rsidR="0062383D">
        <w:t xml:space="preserve"> for liabilities</w:t>
      </w:r>
      <w:r w:rsidR="000A1641">
        <w:t xml:space="preserve"> (“</w:t>
      </w:r>
      <w:r w:rsidR="000A1641">
        <w:rPr>
          <w:i/>
          <w:iCs/>
        </w:rPr>
        <w:t>constant</w:t>
      </w:r>
      <w:r w:rsidR="000A1641">
        <w:t>” below).</w:t>
      </w:r>
    </w:p>
    <w:p w14:paraId="581AD6F6" w14:textId="54D9C67F" w:rsidR="00F572B0" w:rsidRDefault="00F572B0" w:rsidP="00F572B0">
      <w:pPr>
        <w:pStyle w:val="ListParagraph"/>
        <w:numPr>
          <w:ilvl w:val="0"/>
          <w:numId w:val="3"/>
        </w:numPr>
      </w:pPr>
      <w:r>
        <w:t>Whether the policyholder can exit the contract</w:t>
      </w:r>
      <w:r w:rsidR="009C77A4">
        <w:t>. Where there is no right to exit</w:t>
      </w:r>
      <w:r w:rsidR="00D2177D">
        <w:t>,</w:t>
      </w:r>
      <w:r w:rsidR="009C77A4">
        <w:t xml:space="preserve"> the contract will be more illiquid</w:t>
      </w:r>
      <w:r w:rsidR="00673D7F">
        <w:t xml:space="preserve">, </w:t>
      </w:r>
      <w:r w:rsidR="000B7444">
        <w:t>but</w:t>
      </w:r>
      <w:r w:rsidR="0062383D">
        <w:t xml:space="preserve"> for contracts that can be exited,</w:t>
      </w:r>
      <w:r w:rsidR="00673D7F">
        <w:t xml:space="preserve"> actuaries should consider whether the contract has any inherent value being lost on exit</w:t>
      </w:r>
      <w:r w:rsidR="0062383D">
        <w:t>. Where the loss is lower</w:t>
      </w:r>
      <w:r w:rsidR="00673D7F">
        <w:t xml:space="preserve"> the contract may be more liquid.</w:t>
      </w:r>
    </w:p>
    <w:p w14:paraId="5E347ECA" w14:textId="7818F373" w:rsidR="00F572B0" w:rsidRDefault="009C77A4" w:rsidP="00F572B0">
      <w:pPr>
        <w:pStyle w:val="ListParagraph"/>
        <w:numPr>
          <w:ilvl w:val="0"/>
          <w:numId w:val="3"/>
        </w:numPr>
      </w:pPr>
      <w:r>
        <w:t>What exit costs or surrender charges the contract might have. The higher the exit or surrender charges, the more illiquid the contract might be.</w:t>
      </w:r>
    </w:p>
    <w:p w14:paraId="761158C9" w14:textId="5B207791" w:rsidR="00464D40" w:rsidRDefault="00464D40" w:rsidP="00F572B0">
      <w:pPr>
        <w:pStyle w:val="ListParagraph"/>
        <w:numPr>
          <w:ilvl w:val="0"/>
          <w:numId w:val="3"/>
        </w:numPr>
      </w:pPr>
      <w:r>
        <w:t xml:space="preserve">Any features that are valuable to the policyholder – for example, whether </w:t>
      </w:r>
      <w:r w:rsidR="001E0894">
        <w:t>a term insurance</w:t>
      </w:r>
      <w:r>
        <w:t xml:space="preserve"> contract </w:t>
      </w:r>
      <w:r w:rsidR="001E0894">
        <w:t>can be rolled into a new contract with no underwriting.</w:t>
      </w:r>
    </w:p>
    <w:p w14:paraId="0797D571" w14:textId="4F08F58C" w:rsidR="001E0894" w:rsidRDefault="001E0894" w:rsidP="00F572B0">
      <w:pPr>
        <w:pStyle w:val="ListParagraph"/>
        <w:numPr>
          <w:ilvl w:val="0"/>
          <w:numId w:val="3"/>
        </w:numPr>
      </w:pPr>
      <w:r>
        <w:t>Whether there are any levels of guarantee</w:t>
      </w:r>
      <w:r w:rsidR="00CB05EB">
        <w:t xml:space="preserve"> (for example, a minimum interest rate guarantee)</w:t>
      </w:r>
    </w:p>
    <w:p w14:paraId="395B727D" w14:textId="17772DDB" w:rsidR="001068C0" w:rsidRDefault="009E1BAB" w:rsidP="001068C0">
      <w:r>
        <w:t>The guidance then goes on to discuss top down and bottom up approaches.</w:t>
      </w:r>
    </w:p>
    <w:p w14:paraId="5226E11B" w14:textId="6D7E0891" w:rsidR="009E1BAB" w:rsidRDefault="009E1BAB" w:rsidP="001068C0">
      <w:r>
        <w:t xml:space="preserve">For the top down approach, the CIA sets out the advantages and disadvantages of using a reference portfolio based on assets held by the insurer versus a bespoke </w:t>
      </w:r>
      <w:r w:rsidR="001F78AE">
        <w:t>portfolio but does not preclude either approach.</w:t>
      </w:r>
    </w:p>
    <w:p w14:paraId="45DB8DB2" w14:textId="1DE28BBB" w:rsidR="001F78AE" w:rsidRDefault="004625FE" w:rsidP="001068C0">
      <w:r>
        <w:t xml:space="preserve">Where a top down approach is used the CIA sets out two potential methods for removing the impact of credit risk from the </w:t>
      </w:r>
      <w:r w:rsidR="001427E6">
        <w:t>yield for the reference portfolio:</w:t>
      </w:r>
    </w:p>
    <w:p w14:paraId="17173CE8" w14:textId="5F4B40F6" w:rsidR="001427E6" w:rsidRDefault="001427E6" w:rsidP="001427E6">
      <w:pPr>
        <w:pStyle w:val="ListParagraph"/>
        <w:numPr>
          <w:ilvl w:val="0"/>
          <w:numId w:val="4"/>
        </w:numPr>
      </w:pPr>
      <w:r>
        <w:t>Using historic data, where expected credit losses are set equal to:</w:t>
      </w:r>
    </w:p>
    <w:p w14:paraId="6507FA34" w14:textId="7E1678C0" w:rsidR="001427E6" w:rsidRDefault="001427E6" w:rsidP="001427E6">
      <w:pPr>
        <w:pStyle w:val="ListParagraph"/>
      </w:pPr>
    </w:p>
    <w:p w14:paraId="01A1A185" w14:textId="44C7DDD7" w:rsidR="0052022C" w:rsidRDefault="0052022C" w:rsidP="001427E6">
      <w:pPr>
        <w:pStyle w:val="ListParagraph"/>
        <w:rPr>
          <w:i/>
          <w:iCs/>
        </w:rPr>
      </w:pPr>
      <m:oMathPara>
        <m:oMath>
          <m:r>
            <w:rPr>
              <w:rFonts w:ascii="Cambria Math" w:hAnsi="Cambria Math"/>
            </w:rPr>
            <m:t>Probability of default×Loss given default×Exposure at default</m:t>
          </m:r>
        </m:oMath>
      </m:oMathPara>
    </w:p>
    <w:p w14:paraId="528FFA99" w14:textId="77777777" w:rsidR="001427E6" w:rsidRDefault="001427E6" w:rsidP="001427E6">
      <w:pPr>
        <w:pStyle w:val="ListParagraph"/>
      </w:pPr>
    </w:p>
    <w:p w14:paraId="04DA9269" w14:textId="1AE179D1" w:rsidR="00042A1E" w:rsidRDefault="00042A1E" w:rsidP="00042A1E">
      <w:pPr>
        <w:pStyle w:val="ListParagraph"/>
      </w:pPr>
      <w:r>
        <w:t>This would then be increased to reflect unexpected</w:t>
      </w:r>
      <w:r w:rsidR="0075664A">
        <w:t xml:space="preserve"> credit losses.</w:t>
      </w:r>
      <w:r w:rsidR="00F03561">
        <w:t xml:space="preserve"> The guidance suggests </w:t>
      </w:r>
      <w:r w:rsidR="000C3CB3">
        <w:t>possible approaches as:</w:t>
      </w:r>
    </w:p>
    <w:p w14:paraId="570AFC20" w14:textId="2929D694" w:rsidR="000C3CB3" w:rsidRDefault="000C3CB3" w:rsidP="000C3CB3">
      <w:pPr>
        <w:pStyle w:val="ListParagraph"/>
        <w:numPr>
          <w:ilvl w:val="1"/>
          <w:numId w:val="4"/>
        </w:numPr>
      </w:pPr>
      <w:r>
        <w:t>A fixed margin of 100%</w:t>
      </w:r>
      <w:r w:rsidR="000B7444">
        <w:t xml:space="preserve"> of expected defaults</w:t>
      </w:r>
    </w:p>
    <w:p w14:paraId="20E4363A" w14:textId="34E71176" w:rsidR="000C3CB3" w:rsidRDefault="00B07CFE" w:rsidP="000C3CB3">
      <w:pPr>
        <w:pStyle w:val="ListParagraph"/>
        <w:numPr>
          <w:ilvl w:val="1"/>
          <w:numId w:val="4"/>
        </w:numPr>
      </w:pPr>
      <w:r>
        <w:t>C</w:t>
      </w:r>
      <w:r w:rsidR="000512C1">
        <w:t>onsidering the amount of capital Can</w:t>
      </w:r>
      <w:r w:rsidR="00967A8C">
        <w:t>a</w:t>
      </w:r>
      <w:r w:rsidR="000512C1">
        <w:t>dian</w:t>
      </w:r>
      <w:r w:rsidR="00967A8C">
        <w:t xml:space="preserve"> insurers need to hold against corporate bonds (the “Life Insurance Capital Adequacy Test”)</w:t>
      </w:r>
      <w:r w:rsidR="003D430F">
        <w:t>. The guidance sets out specific parameters.</w:t>
      </w:r>
    </w:p>
    <w:p w14:paraId="77B6168D" w14:textId="7FFFEC2A" w:rsidR="00967A8C" w:rsidRDefault="00B07CFE" w:rsidP="000C3CB3">
      <w:pPr>
        <w:pStyle w:val="ListParagraph"/>
        <w:numPr>
          <w:ilvl w:val="1"/>
          <w:numId w:val="4"/>
        </w:numPr>
      </w:pPr>
      <w:r>
        <w:t>C</w:t>
      </w:r>
      <w:r w:rsidR="00967A8C">
        <w:t xml:space="preserve">onsidering the </w:t>
      </w:r>
      <w:r w:rsidR="003D430F">
        <w:t xml:space="preserve">cost of capital approach under </w:t>
      </w:r>
      <w:r w:rsidR="00D2177D">
        <w:t xml:space="preserve">Basel </w:t>
      </w:r>
      <w:r w:rsidR="003D430F">
        <w:t>III.</w:t>
      </w:r>
    </w:p>
    <w:p w14:paraId="4A452452" w14:textId="77777777" w:rsidR="00042A1E" w:rsidRDefault="00042A1E" w:rsidP="00042A1E">
      <w:pPr>
        <w:pStyle w:val="ListParagraph"/>
      </w:pPr>
    </w:p>
    <w:p w14:paraId="6447B21B" w14:textId="7550A7D5" w:rsidR="001427E6" w:rsidRDefault="0075664A" w:rsidP="001427E6">
      <w:pPr>
        <w:pStyle w:val="ListParagraph"/>
        <w:numPr>
          <w:ilvl w:val="0"/>
          <w:numId w:val="4"/>
        </w:numPr>
      </w:pPr>
      <w:r>
        <w:t>Using Credit Default Swaps (CDS)</w:t>
      </w:r>
      <w:r w:rsidR="00042A1E">
        <w:t>.</w:t>
      </w:r>
      <w:r>
        <w:t xml:space="preserve"> The guidance highlights that </w:t>
      </w:r>
      <w:r w:rsidR="00725EA7">
        <w:t xml:space="preserve">as the Canadian CDS market is small </w:t>
      </w:r>
      <w:r w:rsidR="00895298">
        <w:t>it would be difficult to extract the credit component</w:t>
      </w:r>
      <w:r w:rsidR="00D2177D">
        <w:t>,</w:t>
      </w:r>
      <w:r w:rsidR="00895298">
        <w:t xml:space="preserve"> and actuaries are </w:t>
      </w:r>
      <w:r w:rsidR="00895298">
        <w:lastRenderedPageBreak/>
        <w:t>recommended not to rely solely on Canadian CDS data.</w:t>
      </w:r>
      <w:r w:rsidR="005F200A">
        <w:t xml:space="preserve"> The guidance sets out how actuaries might adjust US CDS data to calculate the impact of credit risk.</w:t>
      </w:r>
    </w:p>
    <w:p w14:paraId="4422F9D3" w14:textId="77777777" w:rsidR="00CA2386" w:rsidRDefault="0099027A" w:rsidP="0099027A">
      <w:r>
        <w:t>The guidance discusses how actuaries might extract the liquidity premium for assets other than corporate bonds, for example, property.</w:t>
      </w:r>
    </w:p>
    <w:p w14:paraId="5D5A932E" w14:textId="364D076F" w:rsidR="00A835A1" w:rsidRDefault="00A835A1" w:rsidP="0099027A">
      <w:r>
        <w:t>The guidance also covers how actuaries might set a bottom up discount rate</w:t>
      </w:r>
      <w:r w:rsidR="008A25A3">
        <w:t xml:space="preserve">, suggesting that the liquidity premium could be </w:t>
      </w:r>
      <w:r w:rsidR="00612904">
        <w:t>set using a hybrid between the top down and bottom up approaches</w:t>
      </w:r>
      <w:r w:rsidR="006B5D01">
        <w:t>, based on a defined asset portfolio:</w:t>
      </w:r>
    </w:p>
    <w:p w14:paraId="54064FE9" w14:textId="4A0D9FC4" w:rsidR="00372E82" w:rsidRDefault="00372E82" w:rsidP="00256847">
      <w:pPr>
        <w:jc w:val="center"/>
        <w:rPr>
          <w:i/>
          <w:iCs/>
        </w:rPr>
      </w:pPr>
      <m:oMathPara>
        <m:oMath>
          <m:r>
            <w:rPr>
              <w:rFonts w:ascii="Cambria Math" w:hAnsi="Cambria Math"/>
            </w:rPr>
            <m:t>Liqudity premium=r ×Asset spread+constant</m:t>
          </m:r>
        </m:oMath>
      </m:oMathPara>
    </w:p>
    <w:p w14:paraId="2E324CB6" w14:textId="3B3A4A1B" w:rsidR="00256847" w:rsidRDefault="00760FFF" w:rsidP="0099027A">
      <w:r>
        <w:t>Where:</w:t>
      </w:r>
    </w:p>
    <w:p w14:paraId="593006AE" w14:textId="4E4E5928" w:rsidR="00372E82" w:rsidRDefault="00372E82" w:rsidP="00A12049">
      <w:pPr>
        <w:jc w:val="center"/>
      </w:pPr>
      <w:r>
        <w:t>Asset spread is the spread over risk-free rates measured on a defined portfolio</w:t>
      </w:r>
      <w:r w:rsidR="00A12049">
        <w:t>; and</w:t>
      </w:r>
    </w:p>
    <w:p w14:paraId="56C5266F" w14:textId="2C5D639F" w:rsidR="00760FFF" w:rsidRDefault="006B5D01" w:rsidP="00760FFF">
      <w:pPr>
        <w:jc w:val="center"/>
        <w:rPr>
          <w:i/>
          <w:iCs/>
        </w:rPr>
      </w:pPr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Asset spread- 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expected loss+unexpected loss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Asset spread</m:t>
              </m:r>
            </m:den>
          </m:f>
        </m:oMath>
      </m:oMathPara>
    </w:p>
    <w:p w14:paraId="5A32158E" w14:textId="5DA82B08" w:rsidR="00C00091" w:rsidRDefault="00D65007" w:rsidP="00C00091">
      <w:r>
        <w:t>The guidance suggests that, as credit risk typically accounts for 15%</w:t>
      </w:r>
      <w:r w:rsidR="00A12049">
        <w:t xml:space="preserve"> to </w:t>
      </w:r>
      <w:r>
        <w:t>40% of the asset spread</w:t>
      </w:r>
      <w:r w:rsidR="00E649D7">
        <w:t xml:space="preserve"> (using the techniques</w:t>
      </w:r>
      <w:r w:rsidR="00CA2386">
        <w:t xml:space="preserve"> for the top down approach</w:t>
      </w:r>
      <w:r w:rsidR="00E649D7">
        <w:t xml:space="preserve"> discussed above)</w:t>
      </w:r>
      <w:r>
        <w:t xml:space="preserve">, a suitable value for </w:t>
      </w:r>
      <w:r>
        <w:rPr>
          <w:i/>
          <w:iCs/>
        </w:rPr>
        <w:t>r</w:t>
      </w:r>
      <w:r>
        <w:t xml:space="preserve"> might be 60%</w:t>
      </w:r>
      <w:r w:rsidR="00A12049">
        <w:t xml:space="preserve"> to</w:t>
      </w:r>
      <w:r w:rsidR="00E649D7">
        <w:t xml:space="preserve"> </w:t>
      </w:r>
      <w:r>
        <w:t xml:space="preserve">85%, with the higher value being more appropriate </w:t>
      </w:r>
      <w:r w:rsidR="001E08DA">
        <w:t xml:space="preserve">in a liquidity crisis event, whilst the minimum would be appropriate where credit risk has </w:t>
      </w:r>
      <w:r w:rsidR="006D7321">
        <w:t xml:space="preserve">significantly increased. Under normal circumstances a value close to the mid-point would </w:t>
      </w:r>
      <w:r w:rsidR="00E84923">
        <w:t>be</w:t>
      </w:r>
      <w:r w:rsidR="006D7321">
        <w:t xml:space="preserve"> appropriate.</w:t>
      </w:r>
    </w:p>
    <w:p w14:paraId="58CDF871" w14:textId="5C13FD96" w:rsidR="00CF77B8" w:rsidRDefault="00CF77B8" w:rsidP="00C00091">
      <w:r>
        <w:t xml:space="preserve">The “constant” would be set by considering whether the insurance contracts are </w:t>
      </w:r>
      <w:proofErr w:type="gramStart"/>
      <w:r>
        <w:t>more or less liquid</w:t>
      </w:r>
      <w:proofErr w:type="gramEnd"/>
      <w:r>
        <w:t xml:space="preserve"> than the reference portfolio:</w:t>
      </w:r>
    </w:p>
    <w:p w14:paraId="05F439E3" w14:textId="6500C1E1" w:rsidR="00CF77B8" w:rsidRDefault="00CF77B8" w:rsidP="00CF77B8">
      <w:pPr>
        <w:pStyle w:val="ListParagraph"/>
        <w:numPr>
          <w:ilvl w:val="0"/>
          <w:numId w:val="4"/>
        </w:numPr>
      </w:pPr>
      <w:r>
        <w:t xml:space="preserve">For </w:t>
      </w:r>
      <w:r w:rsidR="00742E38">
        <w:t>highly liquid amounts i.e. an amount on deposit, the reference portfolio would be for cash assets and the liquidity would be similar. No adjustment needs to be made.</w:t>
      </w:r>
    </w:p>
    <w:p w14:paraId="691AC3B4" w14:textId="5E457B68" w:rsidR="00742E38" w:rsidRDefault="00742E38" w:rsidP="00CF77B8">
      <w:pPr>
        <w:pStyle w:val="ListParagraph"/>
        <w:numPr>
          <w:ilvl w:val="0"/>
          <w:numId w:val="4"/>
        </w:numPr>
      </w:pPr>
      <w:r>
        <w:t>For</w:t>
      </w:r>
      <w:r w:rsidR="00B84E7E">
        <w:t xml:space="preserve"> highly</w:t>
      </w:r>
      <w:r>
        <w:t xml:space="preserve"> </w:t>
      </w:r>
      <w:r w:rsidR="003E4F30">
        <w:t>illiquid cash flows (i.e. whole of life contracts), no adjustment would be required where the reference portfolio was also for illiquid assets (such as private debt or mortgages).</w:t>
      </w:r>
      <w:r w:rsidR="00EE25A7">
        <w:t xml:space="preserve"> Where the reference portfolio is based on more liquid assets such as </w:t>
      </w:r>
      <w:r w:rsidR="00DB0F43">
        <w:t>investment grade corporate bonds, an adjustment of 50bps</w:t>
      </w:r>
      <w:r w:rsidR="00354137">
        <w:t xml:space="preserve"> (this </w:t>
      </w:r>
      <w:r w:rsidR="00075470">
        <w:t xml:space="preserve">was set by considering the difference between private placements / mortgages with investment grade corporate bonds). </w:t>
      </w:r>
    </w:p>
    <w:p w14:paraId="042EA854" w14:textId="276C7F41" w:rsidR="00EE25A7" w:rsidRDefault="00DB0F43" w:rsidP="00CF77B8">
      <w:pPr>
        <w:pStyle w:val="ListParagraph"/>
        <w:numPr>
          <w:ilvl w:val="0"/>
          <w:numId w:val="4"/>
        </w:numPr>
      </w:pPr>
      <w:r>
        <w:t xml:space="preserve">For even more illiquid </w:t>
      </w:r>
      <w:r w:rsidR="000B7444">
        <w:t>liabilities</w:t>
      </w:r>
      <w:r>
        <w:t xml:space="preserve"> (</w:t>
      </w:r>
      <w:r w:rsidR="000B7444">
        <w:t xml:space="preserve">say, </w:t>
      </w:r>
      <w:r>
        <w:t>whole of life with no surrender value), a higher adjustment may be more appropriate.</w:t>
      </w:r>
      <w:r w:rsidR="001A418C">
        <w:t xml:space="preserve"> The guidance suggests that actuaries should consider how the contracts are priced, as well as being aware of the implications of setting a discount rate that </w:t>
      </w:r>
      <w:r w:rsidR="0058745C">
        <w:t>“creates a negative bias in investment results”</w:t>
      </w:r>
      <w:r w:rsidR="0062383D">
        <w:t xml:space="preserve"> i.e. if a higher rate is used for liabilities than can be earned on the assets, this would lead to losses going forward, which may be inappropriate</w:t>
      </w:r>
    </w:p>
    <w:p w14:paraId="21BE0DCF" w14:textId="58713EEC" w:rsidR="00870555" w:rsidRDefault="006A6D4D" w:rsidP="0058745C">
      <w:r>
        <w:t>The 50bps addition would not necessarily be applied to all insurance contracts</w:t>
      </w:r>
      <w:r w:rsidR="001413FB">
        <w:t xml:space="preserve">, only </w:t>
      </w:r>
      <w:r w:rsidR="0062383D">
        <w:t xml:space="preserve">for </w:t>
      </w:r>
      <w:r w:rsidR="00F20B34">
        <w:t xml:space="preserve">contracts that are </w:t>
      </w:r>
      <w:r w:rsidR="0062383D">
        <w:t xml:space="preserve">more illiquid </w:t>
      </w:r>
      <w:r w:rsidR="00F20B34">
        <w:t>than investment grade corporate bonds.</w:t>
      </w:r>
    </w:p>
    <w:p w14:paraId="74F55F5C" w14:textId="4271C5CC" w:rsidR="0058745C" w:rsidRDefault="003C539D" w:rsidP="0058745C">
      <w:r>
        <w:t xml:space="preserve">The guidance suggests that setting a bottom up discount rate based on covered bonds or mortgage backed securities is not appropriate, but this is </w:t>
      </w:r>
      <w:r w:rsidR="00A30C44">
        <w:t xml:space="preserve">due to limitations in the Canadian market (i.e. covered bonds are typically denominated in Euro, whilst mortgage backed securities </w:t>
      </w:r>
      <w:r w:rsidR="009462F7">
        <w:t>only have a published spread over government bonds at issue).</w:t>
      </w:r>
    </w:p>
    <w:p w14:paraId="2E192A18" w14:textId="17F9D960" w:rsidR="009462F7" w:rsidRDefault="00F56BA8" w:rsidP="0058745C">
      <w:r>
        <w:t xml:space="preserve">The guidance also discusses whether to adjust the ultimate rate for </w:t>
      </w:r>
      <w:r w:rsidR="008D51B7">
        <w:t>illiquidity and</w:t>
      </w:r>
      <w:r w:rsidR="00B618A7">
        <w:t xml:space="preserve"> suggests a 70bp adjustment for liquid insurance contracts and 150bps for illiquid insurance contracts</w:t>
      </w:r>
      <w:r w:rsidR="0062383D">
        <w:t xml:space="preserve"> (for Solvency II there is no illiquidity adjustment beyond the last liquid point)</w:t>
      </w:r>
    </w:p>
    <w:p w14:paraId="5A492F6A" w14:textId="73F5E31C" w:rsidR="00DB0F43" w:rsidRDefault="006207A0" w:rsidP="00DB0F43">
      <w:r>
        <w:rPr>
          <w:b/>
          <w:bCs/>
          <w:i/>
          <w:iCs/>
          <w:u w:val="single"/>
        </w:rPr>
        <w:lastRenderedPageBreak/>
        <w:t xml:space="preserve"> “Reference Curves</w:t>
      </w:r>
      <w:r w:rsidR="003C481E">
        <w:rPr>
          <w:b/>
          <w:bCs/>
          <w:i/>
          <w:iCs/>
          <w:u w:val="single"/>
        </w:rPr>
        <w:t>”</w:t>
      </w:r>
    </w:p>
    <w:p w14:paraId="53AE9473" w14:textId="705F5600" w:rsidR="00E84923" w:rsidRDefault="003C481E" w:rsidP="00DB0F43">
      <w:r>
        <w:t xml:space="preserve">The guidance also sets out “reference curves”. </w:t>
      </w:r>
      <w:r w:rsidR="008D51B7">
        <w:t xml:space="preserve">As IFRS 17 is principles-based companies could develop diverging practices. The CIA guidance sets out “reference curves” </w:t>
      </w:r>
      <w:r w:rsidR="00ED20A0">
        <w:t xml:space="preserve">to facilitate comparisons between different companies, </w:t>
      </w:r>
      <w:r w:rsidR="00F20B34">
        <w:t>and</w:t>
      </w:r>
      <w:r w:rsidR="00ED20A0">
        <w:t xml:space="preserve"> a comparison </w:t>
      </w:r>
      <w:r w:rsidR="00F20B34">
        <w:t>might be</w:t>
      </w:r>
      <w:r w:rsidR="00951939">
        <w:t xml:space="preserve"> provided to the regulator</w:t>
      </w:r>
      <w:r w:rsidR="0062383D">
        <w:t xml:space="preserve"> (in the Canadian market the IFRS balance sheet forms part of the regulatory capital requirements)</w:t>
      </w:r>
      <w:r w:rsidR="00951939">
        <w:t xml:space="preserve"> setting out the values using the </w:t>
      </w:r>
      <w:r w:rsidR="002C0852">
        <w:t>reference curves alongside those developed by the company itself</w:t>
      </w:r>
      <w:r w:rsidR="0062383D">
        <w:t xml:space="preserve">, </w:t>
      </w:r>
      <w:r w:rsidR="0062383D" w:rsidRPr="002C4666">
        <w:rPr>
          <w:b/>
          <w:bCs/>
        </w:rPr>
        <w:t>for liabilities beyond the last liquid point</w:t>
      </w:r>
      <w:r w:rsidR="0062383D">
        <w:t>.</w:t>
      </w:r>
    </w:p>
    <w:p w14:paraId="33EC2D8F" w14:textId="6426366C" w:rsidR="002E7D3E" w:rsidRDefault="002E7D3E" w:rsidP="00DB0F43">
      <w:r>
        <w:t>The “reference curves” are: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95"/>
        <w:gridCol w:w="1032"/>
        <w:gridCol w:w="1412"/>
        <w:gridCol w:w="1531"/>
        <w:gridCol w:w="2592"/>
        <w:gridCol w:w="1689"/>
      </w:tblGrid>
      <w:tr w:rsidR="000C4FF7" w14:paraId="09DD55D5" w14:textId="70606D8D" w:rsidTr="000C4FF7">
        <w:tc>
          <w:tcPr>
            <w:tcW w:w="1095" w:type="dxa"/>
            <w:shd w:val="clear" w:color="auto" w:fill="002060"/>
          </w:tcPr>
          <w:p w14:paraId="3387EE82" w14:textId="3A57043E" w:rsidR="000C4FF7" w:rsidRPr="002E7D3E" w:rsidRDefault="000C4FF7" w:rsidP="002E7D3E">
            <w:pPr>
              <w:rPr>
                <w:b/>
                <w:bCs/>
              </w:rPr>
            </w:pPr>
            <w:r w:rsidRPr="002E7D3E">
              <w:rPr>
                <w:b/>
                <w:bCs/>
              </w:rPr>
              <w:t>Liability</w:t>
            </w:r>
          </w:p>
        </w:tc>
        <w:tc>
          <w:tcPr>
            <w:tcW w:w="1032" w:type="dxa"/>
            <w:shd w:val="clear" w:color="auto" w:fill="002060"/>
          </w:tcPr>
          <w:p w14:paraId="6F82E217" w14:textId="1A3FDD78" w:rsidR="000C4FF7" w:rsidRDefault="000C4FF7" w:rsidP="002457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Currency</w:t>
            </w:r>
          </w:p>
        </w:tc>
        <w:tc>
          <w:tcPr>
            <w:tcW w:w="1412" w:type="dxa"/>
            <w:shd w:val="clear" w:color="auto" w:fill="002060"/>
          </w:tcPr>
          <w:p w14:paraId="00D5AD40" w14:textId="11F7EE6F" w:rsidR="000C4FF7" w:rsidRPr="002E7D3E" w:rsidRDefault="000C4FF7" w:rsidP="002457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Last liquid point (years)</w:t>
            </w:r>
          </w:p>
        </w:tc>
        <w:tc>
          <w:tcPr>
            <w:tcW w:w="1531" w:type="dxa"/>
            <w:shd w:val="clear" w:color="auto" w:fill="002060"/>
          </w:tcPr>
          <w:p w14:paraId="39D2E9BD" w14:textId="68B30354" w:rsidR="000C4FF7" w:rsidRPr="002E7D3E" w:rsidRDefault="000C4FF7" w:rsidP="002457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Risk-free rate</w:t>
            </w:r>
          </w:p>
        </w:tc>
        <w:tc>
          <w:tcPr>
            <w:tcW w:w="2592" w:type="dxa"/>
            <w:shd w:val="clear" w:color="auto" w:fill="002060"/>
          </w:tcPr>
          <w:p w14:paraId="6B5DD5BB" w14:textId="72B0911A" w:rsidR="000C4FF7" w:rsidRPr="002E7D3E" w:rsidRDefault="000C4FF7" w:rsidP="002457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Liquidity premium</w:t>
            </w:r>
          </w:p>
        </w:tc>
        <w:tc>
          <w:tcPr>
            <w:tcW w:w="1689" w:type="dxa"/>
            <w:shd w:val="clear" w:color="auto" w:fill="002060"/>
          </w:tcPr>
          <w:p w14:paraId="3E57AC30" w14:textId="50137D34" w:rsidR="000C4FF7" w:rsidRDefault="000C4FF7" w:rsidP="002457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2672A6">
              <w:rPr>
                <w:b/>
                <w:bCs/>
              </w:rPr>
              <w:t>ltimate rate</w:t>
            </w:r>
            <w:r w:rsidR="001A7B3F">
              <w:rPr>
                <w:b/>
                <w:bCs/>
              </w:rPr>
              <w:t xml:space="preserve"> (spot rate)</w:t>
            </w:r>
          </w:p>
        </w:tc>
      </w:tr>
      <w:tr w:rsidR="000C4FF7" w14:paraId="6FB426FB" w14:textId="5702EB18" w:rsidTr="000C4FF7">
        <w:tc>
          <w:tcPr>
            <w:tcW w:w="1095" w:type="dxa"/>
          </w:tcPr>
          <w:p w14:paraId="0B327944" w14:textId="0A28898F" w:rsidR="000C4FF7" w:rsidRDefault="000C4FF7" w:rsidP="002E7D3E">
            <w:r>
              <w:t>Liquid</w:t>
            </w:r>
          </w:p>
        </w:tc>
        <w:tc>
          <w:tcPr>
            <w:tcW w:w="1032" w:type="dxa"/>
          </w:tcPr>
          <w:p w14:paraId="4D49A948" w14:textId="6ABDA76F" w:rsidR="000C4FF7" w:rsidRDefault="000C4FF7" w:rsidP="0024572F">
            <w:pPr>
              <w:jc w:val="center"/>
            </w:pPr>
            <w:r>
              <w:t>CAD</w:t>
            </w:r>
          </w:p>
        </w:tc>
        <w:tc>
          <w:tcPr>
            <w:tcW w:w="1412" w:type="dxa"/>
          </w:tcPr>
          <w:p w14:paraId="2A62D19D" w14:textId="5E1B02DC" w:rsidR="000C4FF7" w:rsidRDefault="000C4FF7" w:rsidP="0024572F">
            <w:pPr>
              <w:jc w:val="center"/>
            </w:pPr>
            <w:r>
              <w:t>30</w:t>
            </w:r>
          </w:p>
        </w:tc>
        <w:tc>
          <w:tcPr>
            <w:tcW w:w="1531" w:type="dxa"/>
          </w:tcPr>
          <w:p w14:paraId="0552410A" w14:textId="1E874590" w:rsidR="000C4FF7" w:rsidRDefault="000C4FF7" w:rsidP="0024572F">
            <w:pPr>
              <w:jc w:val="center"/>
            </w:pPr>
            <w:r>
              <w:t>Canadian gov. bonds</w:t>
            </w:r>
          </w:p>
        </w:tc>
        <w:tc>
          <w:tcPr>
            <w:tcW w:w="2592" w:type="dxa"/>
          </w:tcPr>
          <w:p w14:paraId="3F95C505" w14:textId="104EA001" w:rsidR="000C4FF7" w:rsidRDefault="000C4FF7" w:rsidP="0024572F">
            <w:pPr>
              <w:jc w:val="center"/>
            </w:pPr>
            <w:r>
              <w:t>90% of provincial gov. bond spread over Canada Gov.</w:t>
            </w:r>
          </w:p>
        </w:tc>
        <w:tc>
          <w:tcPr>
            <w:tcW w:w="1689" w:type="dxa"/>
          </w:tcPr>
          <w:p w14:paraId="2507A72E" w14:textId="77777777" w:rsidR="000C4FF7" w:rsidRDefault="000C4FF7" w:rsidP="0024572F">
            <w:pPr>
              <w:jc w:val="center"/>
            </w:pPr>
            <w:r>
              <w:t>4%</w:t>
            </w:r>
            <w:r w:rsidR="000A62B4">
              <w:t xml:space="preserve"> + 0.7%</w:t>
            </w:r>
          </w:p>
          <w:p w14:paraId="2601D4DB" w14:textId="2EA43CC7" w:rsidR="002C4666" w:rsidRDefault="002C4666" w:rsidP="0024572F">
            <w:pPr>
              <w:jc w:val="center"/>
            </w:pPr>
            <w:r>
              <w:t>(reached at year 70)</w:t>
            </w:r>
          </w:p>
        </w:tc>
      </w:tr>
      <w:tr w:rsidR="000C4FF7" w14:paraId="7B5012A7" w14:textId="7DE8D450" w:rsidTr="000C4FF7">
        <w:tc>
          <w:tcPr>
            <w:tcW w:w="1095" w:type="dxa"/>
          </w:tcPr>
          <w:p w14:paraId="6D48670A" w14:textId="4C552444" w:rsidR="000C4FF7" w:rsidRDefault="000C4FF7" w:rsidP="002E7D3E">
            <w:r>
              <w:t>Illiquid</w:t>
            </w:r>
          </w:p>
        </w:tc>
        <w:tc>
          <w:tcPr>
            <w:tcW w:w="1032" w:type="dxa"/>
          </w:tcPr>
          <w:p w14:paraId="26065549" w14:textId="75DE9DEB" w:rsidR="000C4FF7" w:rsidRDefault="000C4FF7" w:rsidP="0024572F">
            <w:pPr>
              <w:jc w:val="center"/>
            </w:pPr>
            <w:r>
              <w:t>CAD</w:t>
            </w:r>
          </w:p>
        </w:tc>
        <w:tc>
          <w:tcPr>
            <w:tcW w:w="1412" w:type="dxa"/>
          </w:tcPr>
          <w:p w14:paraId="0DA5CE37" w14:textId="36F9BE4D" w:rsidR="000C4FF7" w:rsidRDefault="000C4FF7" w:rsidP="0024572F">
            <w:pPr>
              <w:jc w:val="center"/>
            </w:pPr>
            <w:r>
              <w:t>30</w:t>
            </w:r>
          </w:p>
        </w:tc>
        <w:tc>
          <w:tcPr>
            <w:tcW w:w="1531" w:type="dxa"/>
          </w:tcPr>
          <w:p w14:paraId="6214CA88" w14:textId="699D34F7" w:rsidR="000C4FF7" w:rsidRDefault="000C4FF7" w:rsidP="0024572F">
            <w:pPr>
              <w:jc w:val="center"/>
            </w:pPr>
            <w:r>
              <w:t>Canadian gov. bonds</w:t>
            </w:r>
          </w:p>
        </w:tc>
        <w:tc>
          <w:tcPr>
            <w:tcW w:w="2592" w:type="dxa"/>
          </w:tcPr>
          <w:p w14:paraId="52AABE37" w14:textId="28C107A2" w:rsidR="000C4FF7" w:rsidRDefault="000C4FF7" w:rsidP="0024572F">
            <w:pPr>
              <w:jc w:val="center"/>
            </w:pPr>
            <w:r>
              <w:t>75% of IG bonds over Canada Gov. + 0.5%</w:t>
            </w:r>
          </w:p>
        </w:tc>
        <w:tc>
          <w:tcPr>
            <w:tcW w:w="1689" w:type="dxa"/>
          </w:tcPr>
          <w:p w14:paraId="6825F1AD" w14:textId="03948055" w:rsidR="000C4FF7" w:rsidRDefault="000A62B4" w:rsidP="0024572F">
            <w:pPr>
              <w:jc w:val="center"/>
            </w:pPr>
            <w:r>
              <w:t>4% + 1.5%</w:t>
            </w:r>
            <w:r w:rsidR="002C4666">
              <w:t xml:space="preserve"> (reached at year 70)</w:t>
            </w:r>
          </w:p>
        </w:tc>
      </w:tr>
    </w:tbl>
    <w:p w14:paraId="4C01D98A" w14:textId="0B926B01" w:rsidR="003C481E" w:rsidRPr="003C481E" w:rsidRDefault="003C481E" w:rsidP="002E7D3E"/>
    <w:sectPr w:rsidR="003C481E" w:rsidRPr="003C4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7FBF" w14:textId="77777777" w:rsidR="00DE2320" w:rsidRDefault="00DE2320" w:rsidP="00135D81">
      <w:pPr>
        <w:spacing w:after="0" w:line="240" w:lineRule="auto"/>
      </w:pPr>
      <w:r>
        <w:separator/>
      </w:r>
    </w:p>
  </w:endnote>
  <w:endnote w:type="continuationSeparator" w:id="0">
    <w:p w14:paraId="68253D39" w14:textId="77777777" w:rsidR="00DE2320" w:rsidRDefault="00DE2320" w:rsidP="0013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A64F2" w14:textId="77777777" w:rsidR="00DE2320" w:rsidRDefault="00DE2320" w:rsidP="00135D81">
      <w:pPr>
        <w:spacing w:after="0" w:line="240" w:lineRule="auto"/>
      </w:pPr>
      <w:r>
        <w:separator/>
      </w:r>
    </w:p>
  </w:footnote>
  <w:footnote w:type="continuationSeparator" w:id="0">
    <w:p w14:paraId="7436B2EE" w14:textId="77777777" w:rsidR="00DE2320" w:rsidRDefault="00DE2320" w:rsidP="00135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C40B1"/>
    <w:multiLevelType w:val="hybridMultilevel"/>
    <w:tmpl w:val="FD6E131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BE3374"/>
    <w:multiLevelType w:val="hybridMultilevel"/>
    <w:tmpl w:val="4AD643B4"/>
    <w:lvl w:ilvl="0" w:tplc="9098B8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50E8"/>
    <w:multiLevelType w:val="hybridMultilevel"/>
    <w:tmpl w:val="4E9AF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507FE"/>
    <w:multiLevelType w:val="hybridMultilevel"/>
    <w:tmpl w:val="A46EA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6A27"/>
    <w:multiLevelType w:val="hybridMultilevel"/>
    <w:tmpl w:val="41C8E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D453F"/>
    <w:multiLevelType w:val="hybridMultilevel"/>
    <w:tmpl w:val="78A0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77790"/>
    <w:multiLevelType w:val="hybridMultilevel"/>
    <w:tmpl w:val="42F88340"/>
    <w:lvl w:ilvl="0" w:tplc="703E6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7178C"/>
    <w:multiLevelType w:val="hybridMultilevel"/>
    <w:tmpl w:val="B6EC0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052607">
    <w:abstractNumId w:val="4"/>
  </w:num>
  <w:num w:numId="2" w16cid:durableId="870846418">
    <w:abstractNumId w:val="5"/>
  </w:num>
  <w:num w:numId="3" w16cid:durableId="1304310275">
    <w:abstractNumId w:val="3"/>
  </w:num>
  <w:num w:numId="4" w16cid:durableId="276955601">
    <w:abstractNumId w:val="7"/>
  </w:num>
  <w:num w:numId="5" w16cid:durableId="1041513078">
    <w:abstractNumId w:val="0"/>
  </w:num>
  <w:num w:numId="6" w16cid:durableId="970131510">
    <w:abstractNumId w:val="2"/>
  </w:num>
  <w:num w:numId="7" w16cid:durableId="1975719887">
    <w:abstractNumId w:val="6"/>
  </w:num>
  <w:num w:numId="8" w16cid:durableId="9478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15"/>
    <w:rsid w:val="00042A1E"/>
    <w:rsid w:val="000512C1"/>
    <w:rsid w:val="00064FCD"/>
    <w:rsid w:val="00075470"/>
    <w:rsid w:val="000A1641"/>
    <w:rsid w:val="000A62B4"/>
    <w:rsid w:val="000A7B47"/>
    <w:rsid w:val="000B7444"/>
    <w:rsid w:val="000C1DF2"/>
    <w:rsid w:val="000C3CB3"/>
    <w:rsid w:val="000C4FF7"/>
    <w:rsid w:val="001068C0"/>
    <w:rsid w:val="0011641F"/>
    <w:rsid w:val="00135D81"/>
    <w:rsid w:val="001413FB"/>
    <w:rsid w:val="001427E6"/>
    <w:rsid w:val="00151597"/>
    <w:rsid w:val="00174DF8"/>
    <w:rsid w:val="001900A6"/>
    <w:rsid w:val="001A418C"/>
    <w:rsid w:val="001A5277"/>
    <w:rsid w:val="001A7B3F"/>
    <w:rsid w:val="001B7DB3"/>
    <w:rsid w:val="001E0894"/>
    <w:rsid w:val="001E08DA"/>
    <w:rsid w:val="001F78AE"/>
    <w:rsid w:val="00227629"/>
    <w:rsid w:val="0024572F"/>
    <w:rsid w:val="00256847"/>
    <w:rsid w:val="002633A2"/>
    <w:rsid w:val="002672A6"/>
    <w:rsid w:val="002778F0"/>
    <w:rsid w:val="00293FDF"/>
    <w:rsid w:val="002C0852"/>
    <w:rsid w:val="002C4666"/>
    <w:rsid w:val="002D63A6"/>
    <w:rsid w:val="002E7D3E"/>
    <w:rsid w:val="00321D2F"/>
    <w:rsid w:val="00325D7D"/>
    <w:rsid w:val="00354137"/>
    <w:rsid w:val="00372E82"/>
    <w:rsid w:val="003A5A57"/>
    <w:rsid w:val="003C481E"/>
    <w:rsid w:val="003C539D"/>
    <w:rsid w:val="003D430F"/>
    <w:rsid w:val="003E4F30"/>
    <w:rsid w:val="00417F94"/>
    <w:rsid w:val="004625FE"/>
    <w:rsid w:val="00464D40"/>
    <w:rsid w:val="004C64CF"/>
    <w:rsid w:val="004D74CB"/>
    <w:rsid w:val="00502258"/>
    <w:rsid w:val="00513392"/>
    <w:rsid w:val="0052022C"/>
    <w:rsid w:val="005469A3"/>
    <w:rsid w:val="00551959"/>
    <w:rsid w:val="0058745C"/>
    <w:rsid w:val="005A5272"/>
    <w:rsid w:val="005B796B"/>
    <w:rsid w:val="005D58A0"/>
    <w:rsid w:val="005F200A"/>
    <w:rsid w:val="005F27B3"/>
    <w:rsid w:val="005F335B"/>
    <w:rsid w:val="00612904"/>
    <w:rsid w:val="006207A0"/>
    <w:rsid w:val="0062383D"/>
    <w:rsid w:val="0065069D"/>
    <w:rsid w:val="00673D7F"/>
    <w:rsid w:val="00680BEB"/>
    <w:rsid w:val="006A6D4D"/>
    <w:rsid w:val="006B5D01"/>
    <w:rsid w:val="006C2CE7"/>
    <w:rsid w:val="006D3566"/>
    <w:rsid w:val="006D7321"/>
    <w:rsid w:val="0070383D"/>
    <w:rsid w:val="00725EA7"/>
    <w:rsid w:val="00731FDE"/>
    <w:rsid w:val="00742E38"/>
    <w:rsid w:val="0075664A"/>
    <w:rsid w:val="00760FFF"/>
    <w:rsid w:val="007644DF"/>
    <w:rsid w:val="007D3267"/>
    <w:rsid w:val="007E1047"/>
    <w:rsid w:val="00830E15"/>
    <w:rsid w:val="00837487"/>
    <w:rsid w:val="00852FDE"/>
    <w:rsid w:val="00870555"/>
    <w:rsid w:val="00880989"/>
    <w:rsid w:val="00895298"/>
    <w:rsid w:val="008A25A3"/>
    <w:rsid w:val="008D51B7"/>
    <w:rsid w:val="00901471"/>
    <w:rsid w:val="00933715"/>
    <w:rsid w:val="009462F7"/>
    <w:rsid w:val="00951939"/>
    <w:rsid w:val="00963621"/>
    <w:rsid w:val="00967A8C"/>
    <w:rsid w:val="00967DAA"/>
    <w:rsid w:val="00983637"/>
    <w:rsid w:val="0099027A"/>
    <w:rsid w:val="009A3992"/>
    <w:rsid w:val="009B0410"/>
    <w:rsid w:val="009C5B11"/>
    <w:rsid w:val="009C77A4"/>
    <w:rsid w:val="009E1BAB"/>
    <w:rsid w:val="00A06442"/>
    <w:rsid w:val="00A12049"/>
    <w:rsid w:val="00A30C44"/>
    <w:rsid w:val="00A332BB"/>
    <w:rsid w:val="00A4507A"/>
    <w:rsid w:val="00A835A1"/>
    <w:rsid w:val="00A9325B"/>
    <w:rsid w:val="00AB5827"/>
    <w:rsid w:val="00AF1691"/>
    <w:rsid w:val="00B0254B"/>
    <w:rsid w:val="00B07CFE"/>
    <w:rsid w:val="00B618A7"/>
    <w:rsid w:val="00B71325"/>
    <w:rsid w:val="00B84E7E"/>
    <w:rsid w:val="00B960E2"/>
    <w:rsid w:val="00BC077E"/>
    <w:rsid w:val="00BC22A5"/>
    <w:rsid w:val="00BC2417"/>
    <w:rsid w:val="00C00091"/>
    <w:rsid w:val="00CA2386"/>
    <w:rsid w:val="00CB05EB"/>
    <w:rsid w:val="00CB5A24"/>
    <w:rsid w:val="00CB75B6"/>
    <w:rsid w:val="00CF77B8"/>
    <w:rsid w:val="00D109CC"/>
    <w:rsid w:val="00D2177D"/>
    <w:rsid w:val="00D24B5D"/>
    <w:rsid w:val="00D339E8"/>
    <w:rsid w:val="00D64036"/>
    <w:rsid w:val="00D65007"/>
    <w:rsid w:val="00DA262C"/>
    <w:rsid w:val="00DB0F43"/>
    <w:rsid w:val="00DD5A15"/>
    <w:rsid w:val="00DE0F10"/>
    <w:rsid w:val="00DE2320"/>
    <w:rsid w:val="00E345C1"/>
    <w:rsid w:val="00E3693E"/>
    <w:rsid w:val="00E649D7"/>
    <w:rsid w:val="00E84923"/>
    <w:rsid w:val="00EB26DA"/>
    <w:rsid w:val="00EC3446"/>
    <w:rsid w:val="00ED20A0"/>
    <w:rsid w:val="00EE25A7"/>
    <w:rsid w:val="00F03561"/>
    <w:rsid w:val="00F126E1"/>
    <w:rsid w:val="00F20B34"/>
    <w:rsid w:val="00F37256"/>
    <w:rsid w:val="00F477C5"/>
    <w:rsid w:val="00F56BA8"/>
    <w:rsid w:val="00F572B0"/>
    <w:rsid w:val="00FA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426F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2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35D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D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5D81"/>
    <w:rPr>
      <w:vertAlign w:val="superscript"/>
    </w:rPr>
  </w:style>
  <w:style w:type="table" w:styleId="TableGrid">
    <w:name w:val="Table Grid"/>
    <w:basedOn w:val="TableNormal"/>
    <w:uiPriority w:val="39"/>
    <w:rsid w:val="002E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5D01"/>
    <w:rPr>
      <w:color w:val="808080"/>
    </w:rPr>
  </w:style>
  <w:style w:type="paragraph" w:styleId="NoSpacing">
    <w:name w:val="No Spacing"/>
    <w:uiPriority w:val="1"/>
    <w:qFormat/>
    <w:rsid w:val="00F477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6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4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3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621"/>
  </w:style>
  <w:style w:type="paragraph" w:styleId="Footer">
    <w:name w:val="footer"/>
    <w:basedOn w:val="Normal"/>
    <w:link w:val="FooterChar"/>
    <w:uiPriority w:val="99"/>
    <w:unhideWhenUsed/>
    <w:rsid w:val="00963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621"/>
  </w:style>
  <w:style w:type="character" w:styleId="Hyperlink">
    <w:name w:val="Hyperlink"/>
    <w:basedOn w:val="DefaultParagraphFont"/>
    <w:uiPriority w:val="99"/>
    <w:unhideWhenUsed/>
    <w:rsid w:val="00174D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D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74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ia-ica.ca/docs/default-source/2020/220079e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146D8F0AB404D87E156D4CFDE1840" ma:contentTypeVersion="11" ma:contentTypeDescription="Create a new document." ma:contentTypeScope="" ma:versionID="baa5dfab78379ac2b546312b33448233">
  <xsd:schema xmlns:xsd="http://www.w3.org/2001/XMLSchema" xmlns:xs="http://www.w3.org/2001/XMLSchema" xmlns:p="http://schemas.microsoft.com/office/2006/metadata/properties" xmlns:ns3="d98c4897-55fa-47d9-b975-3a9ac1401922" xmlns:ns4="3d04fa8a-fe01-4ea2-9aa5-3325c7b00c72" targetNamespace="http://schemas.microsoft.com/office/2006/metadata/properties" ma:root="true" ma:fieldsID="33bedc475d585ee4d15c9694300abc08" ns3:_="" ns4:_="">
    <xsd:import namespace="d98c4897-55fa-47d9-b975-3a9ac1401922"/>
    <xsd:import namespace="3d04fa8a-fe01-4ea2-9aa5-3325c7b00c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c4897-55fa-47d9-b975-3a9ac140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fa8a-fe01-4ea2-9aa5-3325c7b00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6BC23A-315B-4B89-A0DF-8677E79EB3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5C3BE-6D19-473B-84B9-11758BF3C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DA6BA-3E2E-4E05-A8C4-F338E5EBD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c4897-55fa-47d9-b975-3a9ac1401922"/>
    <ds:schemaRef ds:uri="3d04fa8a-fe01-4ea2-9aa5-3325c7b00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69FAC-F305-4914-BC22-AE28A71EE7F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98c4897-55fa-47d9-b975-3a9ac1401922"/>
    <ds:schemaRef ds:uri="http://purl.org/dc/elements/1.1/"/>
    <ds:schemaRef ds:uri="3d04fa8a-fe01-4ea2-9aa5-3325c7b00c7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2024-05-10T12:50:00Z</dcterms:created>
  <dcterms:modified xsi:type="dcterms:W3CDTF">2024-05-10T12:50:00Z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04ad84-3842-4580-9c59-9fd5ed058213_Enabled">
    <vt:lpwstr>true</vt:lpwstr>
  </property>
  <property fmtid="{D5CDD505-2E9C-101B-9397-08002B2CF9AE}" pid="3" name="MSIP_Label_fa04ad84-3842-4580-9c59-9fd5ed058213_SetDate">
    <vt:lpwstr>2020-09-04T08:22:50Z</vt:lpwstr>
  </property>
  <property fmtid="{D5CDD505-2E9C-101B-9397-08002B2CF9AE}" pid="4" name="MSIP_Label_fa04ad84-3842-4580-9c59-9fd5ed058213_Method">
    <vt:lpwstr>Privileged</vt:lpwstr>
  </property>
  <property fmtid="{D5CDD505-2E9C-101B-9397-08002B2CF9AE}" pid="5" name="MSIP_Label_fa04ad84-3842-4580-9c59-9fd5ed058213_Name">
    <vt:lpwstr>fa04ad84-3842-4580-9c59-9fd5ed058213</vt:lpwstr>
  </property>
  <property fmtid="{D5CDD505-2E9C-101B-9397-08002B2CF9AE}" pid="6" name="MSIP_Label_fa04ad84-3842-4580-9c59-9fd5ed058213_SiteId">
    <vt:lpwstr>c9da0d0e-f235-4e9a-b399-246a120ebd3e</vt:lpwstr>
  </property>
  <property fmtid="{D5CDD505-2E9C-101B-9397-08002B2CF9AE}" pid="7" name="MSIP_Label_fa04ad84-3842-4580-9c59-9fd5ed058213_ActionId">
    <vt:lpwstr>68b3ab99-b349-4561-8906-e4ad619ac27b</vt:lpwstr>
  </property>
  <property fmtid="{D5CDD505-2E9C-101B-9397-08002B2CF9AE}" pid="8" name="MSIP_Label_fa04ad84-3842-4580-9c59-9fd5ed058213_ContentBits">
    <vt:lpwstr>0</vt:lpwstr>
  </property>
  <property fmtid="{D5CDD505-2E9C-101B-9397-08002B2CF9AE}" pid="9" name="ContentTypeId">
    <vt:lpwstr>0x010100889146D8F0AB404D87E156D4CFDE1840</vt:lpwstr>
  </property>
</Properties>
</file>